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01BC1">
      <w:pPr>
        <w:pStyle w:val="3"/>
        <w:numPr>
          <w:numId w:val="0"/>
        </w:numPr>
        <w:ind w:leftChars="0"/>
        <w:jc w:val="center"/>
        <w:rPr>
          <w:rFonts w:hint="eastAsia"/>
        </w:rPr>
      </w:pPr>
      <w:r>
        <w:t>评审办法</w:t>
      </w:r>
      <w:r>
        <w:rPr>
          <w:rFonts w:hint="eastAsia"/>
        </w:rPr>
        <w:t>和标准</w:t>
      </w:r>
    </w:p>
    <w:p w14:paraId="0DFEC886">
      <w:pPr>
        <w:ind w:left="480" w:leftChars="200" w:firstLine="0" w:firstLineChars="0"/>
        <w:rPr>
          <w:rFonts w:hint="eastAsia" w:eastAsia="宋体"/>
          <w:lang w:val="en-US" w:eastAsia="zh-CN"/>
        </w:rPr>
      </w:pPr>
      <w:r>
        <w:rPr>
          <w:rFonts w:hint="eastAsia"/>
          <w:sz w:val="32"/>
          <w:szCs w:val="32"/>
          <w:lang w:val="en-US" w:eastAsia="zh-CN"/>
        </w:rPr>
        <w:t>一、评审办法：</w:t>
      </w:r>
      <w:r>
        <w:rPr>
          <w:rFonts w:hint="eastAsia"/>
          <w:lang w:val="en-US" w:eastAsia="zh-CN"/>
        </w:rPr>
        <w:br w:type="textWrapping"/>
      </w:r>
      <w:r>
        <w:rPr>
          <w:rFonts w:hint="eastAsia"/>
          <w:sz w:val="28"/>
          <w:szCs w:val="28"/>
          <w:lang w:val="en-US" w:eastAsia="zh-CN"/>
        </w:rPr>
        <w:t>评委独立评分，综合得分最高的为第一成交候选人。最终选取第一候选人票数最高的单位为本项目的成交单位。</w:t>
      </w:r>
      <w:r>
        <w:rPr>
          <w:rFonts w:hint="eastAsia"/>
          <w:lang w:val="en-US" w:eastAsia="zh-CN"/>
        </w:rPr>
        <w:br w:type="textWrapping"/>
      </w:r>
      <w:r>
        <w:rPr>
          <w:rFonts w:hint="eastAsia"/>
          <w:sz w:val="32"/>
          <w:szCs w:val="32"/>
          <w:lang w:val="en-US" w:eastAsia="zh-CN"/>
        </w:rPr>
        <w:t>二、评审标准：</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2320"/>
        <w:gridCol w:w="6"/>
        <w:gridCol w:w="7828"/>
        <w:gridCol w:w="1261"/>
        <w:gridCol w:w="847"/>
      </w:tblGrid>
      <w:tr w14:paraId="0DD7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1" w:type="pct"/>
            <w:tcBorders>
              <w:tl2br w:val="nil"/>
              <w:tr2bl w:val="nil"/>
            </w:tcBorders>
            <w:vAlign w:val="center"/>
          </w:tcPr>
          <w:p w14:paraId="25345255">
            <w:pPr>
              <w:spacing w:line="460" w:lineRule="exact"/>
              <w:ind w:firstLine="0" w:firstLineChars="0"/>
              <w:jc w:val="center"/>
              <w:rPr>
                <w:rFonts w:ascii="宋体" w:hAnsi="Times New Roman"/>
                <w:b/>
                <w:bCs/>
              </w:rPr>
            </w:pPr>
            <w:r>
              <w:rPr>
                <w:rFonts w:hint="eastAsia" w:ascii="宋体" w:hAnsi="宋体"/>
                <w:b/>
                <w:bCs/>
              </w:rPr>
              <w:t>类别</w:t>
            </w:r>
          </w:p>
        </w:tc>
        <w:tc>
          <w:tcPr>
            <w:tcW w:w="819" w:type="pct"/>
            <w:tcBorders>
              <w:tl2br w:val="nil"/>
              <w:tr2bl w:val="nil"/>
            </w:tcBorders>
            <w:vAlign w:val="center"/>
          </w:tcPr>
          <w:p w14:paraId="0C44C51B">
            <w:pPr>
              <w:spacing w:line="460" w:lineRule="exact"/>
              <w:ind w:firstLine="0" w:firstLineChars="0"/>
              <w:jc w:val="center"/>
              <w:rPr>
                <w:rFonts w:ascii="宋体"/>
                <w:b/>
                <w:bCs/>
              </w:rPr>
            </w:pPr>
            <w:r>
              <w:rPr>
                <w:rFonts w:hint="eastAsia" w:ascii="宋体" w:hAnsi="宋体"/>
                <w:b/>
                <w:bCs/>
              </w:rPr>
              <w:t>评分内容</w:t>
            </w:r>
          </w:p>
        </w:tc>
        <w:tc>
          <w:tcPr>
            <w:tcW w:w="2765" w:type="pct"/>
            <w:gridSpan w:val="2"/>
            <w:tcBorders>
              <w:tl2br w:val="nil"/>
              <w:tr2bl w:val="nil"/>
            </w:tcBorders>
            <w:vAlign w:val="center"/>
          </w:tcPr>
          <w:p w14:paraId="796329FE">
            <w:pPr>
              <w:spacing w:line="460" w:lineRule="exact"/>
              <w:ind w:firstLine="0" w:firstLineChars="0"/>
              <w:jc w:val="center"/>
              <w:rPr>
                <w:rFonts w:ascii="宋体"/>
                <w:b/>
                <w:bCs/>
              </w:rPr>
            </w:pPr>
            <w:r>
              <w:rPr>
                <w:rFonts w:hint="eastAsia" w:ascii="宋体" w:hAnsi="宋体"/>
                <w:b/>
                <w:bCs/>
              </w:rPr>
              <w:t>评分标准</w:t>
            </w:r>
            <w:r>
              <w:rPr>
                <w:rFonts w:hint="eastAsia" w:ascii="宋体" w:hAnsi="宋体"/>
                <w:b/>
                <w:bCs/>
                <w:lang w:eastAsia="zh-CN"/>
              </w:rPr>
              <w:t>（</w:t>
            </w:r>
            <w:r>
              <w:rPr>
                <w:rFonts w:hint="eastAsia" w:ascii="宋体" w:hAnsi="宋体"/>
                <w:b/>
                <w:bCs/>
                <w:lang w:val="en-US" w:eastAsia="zh-CN"/>
              </w:rPr>
              <w:t>0分为一票否决）</w:t>
            </w:r>
          </w:p>
        </w:tc>
        <w:tc>
          <w:tcPr>
            <w:tcW w:w="445" w:type="pct"/>
            <w:tcBorders>
              <w:tl2br w:val="nil"/>
              <w:tr2bl w:val="nil"/>
            </w:tcBorders>
            <w:vAlign w:val="center"/>
          </w:tcPr>
          <w:p w14:paraId="65CCEE2C">
            <w:pPr>
              <w:spacing w:line="460" w:lineRule="exact"/>
              <w:ind w:firstLine="0" w:firstLineChars="0"/>
              <w:jc w:val="center"/>
              <w:rPr>
                <w:rFonts w:ascii="宋体"/>
                <w:b/>
                <w:bCs/>
              </w:rPr>
            </w:pPr>
            <w:r>
              <w:rPr>
                <w:rFonts w:hint="eastAsia" w:ascii="宋体" w:hAnsi="宋体"/>
                <w:b/>
                <w:bCs/>
              </w:rPr>
              <w:t>分值范围</w:t>
            </w:r>
          </w:p>
        </w:tc>
        <w:tc>
          <w:tcPr>
            <w:tcW w:w="299" w:type="pct"/>
            <w:tcBorders>
              <w:tl2br w:val="nil"/>
              <w:tr2bl w:val="nil"/>
            </w:tcBorders>
            <w:vAlign w:val="center"/>
          </w:tcPr>
          <w:p w14:paraId="0F43687E">
            <w:pPr>
              <w:spacing w:line="460" w:lineRule="exact"/>
              <w:ind w:firstLine="0" w:firstLineChars="0"/>
              <w:jc w:val="center"/>
              <w:rPr>
                <w:rFonts w:hint="default" w:ascii="宋体" w:hAnsi="宋体" w:eastAsia="宋体"/>
                <w:b/>
                <w:bCs/>
                <w:lang w:val="en-US" w:eastAsia="zh-CN"/>
              </w:rPr>
            </w:pPr>
            <w:r>
              <w:rPr>
                <w:rFonts w:hint="eastAsia" w:ascii="宋体" w:hAnsi="宋体"/>
                <w:b/>
                <w:bCs/>
                <w:lang w:val="en-US" w:eastAsia="zh-CN"/>
              </w:rPr>
              <w:t>得分</w:t>
            </w:r>
          </w:p>
        </w:tc>
      </w:tr>
      <w:tr w14:paraId="03AA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tcBorders>
              <w:tl2br w:val="nil"/>
              <w:tr2bl w:val="nil"/>
            </w:tcBorders>
            <w:vAlign w:val="center"/>
          </w:tcPr>
          <w:p w14:paraId="47A986CE">
            <w:pPr>
              <w:spacing w:line="460" w:lineRule="exact"/>
              <w:ind w:firstLine="0" w:firstLineChars="0"/>
              <w:jc w:val="center"/>
              <w:rPr>
                <w:rFonts w:hint="default" w:ascii="宋体" w:eastAsia="宋体"/>
                <w:lang w:val="en-US" w:eastAsia="zh-CN"/>
              </w:rPr>
            </w:pPr>
            <w:r>
              <w:rPr>
                <w:rFonts w:hint="eastAsia" w:ascii="宋体"/>
                <w:lang w:val="en-US" w:eastAsia="zh-CN"/>
              </w:rPr>
              <w:t>响应性</w:t>
            </w:r>
            <w:r>
              <w:rPr>
                <w:rFonts w:hint="eastAsia" w:ascii="宋体"/>
                <w:lang w:val="en-US" w:eastAsia="zh-CN"/>
              </w:rPr>
              <w:br w:type="textWrapping"/>
            </w:r>
            <w:r>
              <w:rPr>
                <w:rFonts w:hint="eastAsia" w:ascii="宋体"/>
                <w:lang w:val="en-US" w:eastAsia="zh-CN"/>
              </w:rPr>
              <w:t>（15分）</w:t>
            </w:r>
          </w:p>
        </w:tc>
        <w:tc>
          <w:tcPr>
            <w:tcW w:w="819" w:type="pct"/>
            <w:tcBorders>
              <w:tl2br w:val="nil"/>
              <w:tr2bl w:val="nil"/>
            </w:tcBorders>
            <w:vAlign w:val="center"/>
          </w:tcPr>
          <w:p w14:paraId="6C2F2D69">
            <w:pPr>
              <w:spacing w:line="460" w:lineRule="exact"/>
              <w:ind w:firstLine="0" w:firstLineChars="0"/>
              <w:jc w:val="center"/>
              <w:rPr>
                <w:rFonts w:hint="default" w:ascii="宋体" w:hAnsi="宋体" w:eastAsia="宋体" w:cs="仿宋"/>
                <w:lang w:val="en-US" w:eastAsia="zh-CN"/>
              </w:rPr>
            </w:pPr>
            <w:r>
              <w:rPr>
                <w:rFonts w:hint="eastAsia" w:ascii="宋体" w:hAnsi="宋体" w:cs="仿宋"/>
                <w:lang w:val="en-US" w:eastAsia="zh-CN"/>
              </w:rPr>
              <w:t>供应商实力</w:t>
            </w:r>
          </w:p>
        </w:tc>
        <w:tc>
          <w:tcPr>
            <w:tcW w:w="2765" w:type="pct"/>
            <w:gridSpan w:val="2"/>
            <w:tcBorders>
              <w:tl2br w:val="nil"/>
              <w:tr2bl w:val="nil"/>
            </w:tcBorders>
            <w:vAlign w:val="center"/>
          </w:tcPr>
          <w:p w14:paraId="2A9EC987">
            <w:pPr>
              <w:ind w:left="240" w:leftChars="0" w:hanging="240" w:hangingChars="100"/>
              <w:jc w:val="left"/>
              <w:rPr>
                <w:rFonts w:hint="eastAsia" w:ascii="宋体" w:hAnsi="宋体" w:eastAsia="宋体" w:cs="仿宋"/>
                <w:kern w:val="2"/>
                <w:sz w:val="24"/>
                <w:szCs w:val="24"/>
                <w:lang w:val="en-US" w:eastAsia="zh-CN" w:bidi="ar-SA"/>
              </w:rPr>
            </w:pPr>
            <w:r>
              <w:rPr>
                <w:rFonts w:hint="eastAsia" w:ascii="宋体" w:hAnsi="宋体" w:cs="仿宋"/>
                <w:lang w:val="en-US" w:eastAsia="zh-CN"/>
              </w:rPr>
              <w:t>1.</w:t>
            </w:r>
            <w:r>
              <w:rPr>
                <w:rFonts w:hint="eastAsia" w:ascii="宋体" w:hAnsi="宋体" w:cs="仿宋"/>
              </w:rPr>
              <w:t>供应商所提供的</w:t>
            </w:r>
            <w:r>
              <w:rPr>
                <w:rFonts w:hint="eastAsia" w:ascii="宋体" w:hAnsi="宋体" w:eastAsia="宋体" w:cs="仿宋"/>
                <w:kern w:val="2"/>
                <w:sz w:val="24"/>
                <w:szCs w:val="24"/>
                <w:lang w:val="en-US" w:eastAsia="zh-CN" w:bidi="ar-SA"/>
              </w:rPr>
              <w:t>磋商响应函</w:t>
            </w:r>
            <w:r>
              <w:rPr>
                <w:rFonts w:hint="eastAsia" w:ascii="宋体" w:hAnsi="宋体" w:cs="仿宋"/>
              </w:rPr>
              <w:t>完全满足或优于服务需求</w:t>
            </w:r>
            <w:r>
              <w:rPr>
                <w:rFonts w:hint="eastAsia" w:ascii="宋体" w:hAnsi="宋体" w:cs="仿宋"/>
                <w:lang w:val="en-US" w:eastAsia="zh-CN"/>
              </w:rPr>
              <w:t>；</w:t>
            </w:r>
            <w:r>
              <w:rPr>
                <w:rFonts w:hint="eastAsia" w:ascii="宋体" w:hAnsi="宋体" w:eastAsia="宋体" w:cs="仿宋"/>
                <w:kern w:val="2"/>
                <w:sz w:val="24"/>
                <w:szCs w:val="24"/>
                <w:lang w:val="en-US" w:eastAsia="zh-CN" w:bidi="ar-SA"/>
              </w:rPr>
              <w:t>营业执照</w:t>
            </w:r>
            <w:r>
              <w:rPr>
                <w:rFonts w:hint="eastAsia" w:ascii="宋体" w:hAnsi="宋体" w:cs="仿宋"/>
                <w:kern w:val="2"/>
                <w:sz w:val="24"/>
                <w:szCs w:val="24"/>
                <w:lang w:val="en-US" w:eastAsia="zh-CN" w:bidi="ar-SA"/>
              </w:rPr>
              <w:t>、</w:t>
            </w:r>
            <w:r>
              <w:rPr>
                <w:rFonts w:hint="eastAsia" w:ascii="宋体" w:hAnsi="宋体" w:eastAsia="宋体" w:cs="仿宋"/>
                <w:kern w:val="2"/>
                <w:sz w:val="24"/>
                <w:szCs w:val="24"/>
                <w:lang w:val="en-US" w:eastAsia="zh-CN" w:bidi="ar-SA"/>
              </w:rPr>
              <w:t>法定代表人证明书或授权委托书</w:t>
            </w:r>
            <w:r>
              <w:rPr>
                <w:rFonts w:hint="eastAsia" w:ascii="宋体" w:hAnsi="宋体" w:cs="仿宋"/>
                <w:kern w:val="2"/>
                <w:sz w:val="24"/>
                <w:szCs w:val="24"/>
                <w:lang w:val="en-US" w:eastAsia="zh-CN" w:bidi="ar-SA"/>
              </w:rPr>
              <w:t>齐全；</w:t>
            </w:r>
            <w:r>
              <w:rPr>
                <w:rFonts w:hint="eastAsia" w:ascii="宋体" w:hAnsi="宋体" w:eastAsia="宋体" w:cs="仿宋"/>
                <w:kern w:val="2"/>
                <w:sz w:val="24"/>
                <w:szCs w:val="24"/>
                <w:lang w:val="en-US" w:eastAsia="zh-CN" w:bidi="ar-SA"/>
              </w:rPr>
              <w:t>无重大违法记录、无不良信用记录</w:t>
            </w:r>
            <w:r>
              <w:rPr>
                <w:rFonts w:hint="eastAsia" w:ascii="宋体" w:hAnsi="宋体" w:cs="仿宋"/>
                <w:kern w:val="2"/>
                <w:sz w:val="24"/>
                <w:szCs w:val="24"/>
                <w:lang w:val="en-US" w:eastAsia="zh-CN" w:bidi="ar-SA"/>
              </w:rPr>
              <w:t>；认证范围为视频拍摄、制作相关的信息安全管理体系证书。</w:t>
            </w:r>
          </w:p>
          <w:p w14:paraId="0FBA6342">
            <w:pPr>
              <w:ind w:left="240" w:leftChars="0" w:hanging="240" w:hangingChars="100"/>
              <w:jc w:val="left"/>
              <w:rPr>
                <w:rFonts w:hint="default" w:ascii="宋体" w:hAnsi="宋体" w:cs="仿宋"/>
                <w:lang w:val="en-US" w:eastAsia="zh-CN"/>
              </w:rPr>
            </w:pPr>
            <w:r>
              <w:rPr>
                <w:rFonts w:hint="eastAsia" w:ascii="宋体" w:hAnsi="宋体" w:cs="仿宋"/>
                <w:lang w:val="en-US" w:eastAsia="zh-CN"/>
              </w:rPr>
              <w:t>2.投标人拥有三年以上独立服务的项目经验和案例，拥有自主版权的系列培训课程，不少于10节，内容能够详细阐述如何开展信息化资源设计、编写文本材料（如教案等），如何拍摄高质量教学视频等。（提供相关链接或资源截图）</w:t>
            </w:r>
          </w:p>
          <w:p w14:paraId="3CCEB57C">
            <w:pPr>
              <w:ind w:left="240" w:leftChars="0" w:hanging="240" w:hangingChars="100"/>
              <w:jc w:val="left"/>
              <w:rPr>
                <w:rFonts w:hint="default" w:eastAsia="楷体_GB2312"/>
                <w:lang w:val="en-US" w:eastAsia="zh-CN"/>
              </w:rPr>
            </w:pPr>
            <w:r>
              <w:rPr>
                <w:rFonts w:hint="eastAsia" w:ascii="宋体" w:hAnsi="宋体" w:cs="仿宋"/>
                <w:lang w:val="en-US" w:eastAsia="zh-CN"/>
              </w:rPr>
              <w:t>3.供应商具有自2022年1月1日起，全国教师教学能力大赛参赛作品服务类项目获得国赛、省赛奖项业绩情况。（提供业绩合同须体现学校名称，以及当年公布的获奖名单截图等，有民办院校服务获奖业绩优先考虑）</w:t>
            </w:r>
          </w:p>
        </w:tc>
        <w:tc>
          <w:tcPr>
            <w:tcW w:w="445" w:type="pct"/>
            <w:tcBorders>
              <w:tl2br w:val="nil"/>
              <w:tr2bl w:val="nil"/>
            </w:tcBorders>
            <w:vAlign w:val="center"/>
          </w:tcPr>
          <w:p w14:paraId="5EC532AD">
            <w:pPr>
              <w:spacing w:line="460" w:lineRule="exact"/>
              <w:ind w:firstLine="0" w:firstLineChars="0"/>
              <w:jc w:val="center"/>
              <w:rPr>
                <w:rFonts w:hint="default" w:ascii="宋体" w:hAnsi="宋体" w:eastAsia="宋体" w:cs="仿宋"/>
                <w:lang w:val="en-US" w:eastAsia="zh-CN"/>
              </w:rPr>
            </w:pPr>
            <w:r>
              <w:rPr>
                <w:rFonts w:hint="eastAsia" w:ascii="宋体" w:hAnsi="宋体" w:cs="仿宋"/>
              </w:rPr>
              <w:t>0</w:t>
            </w:r>
            <w:r>
              <w:rPr>
                <w:rFonts w:hint="eastAsia" w:ascii="宋体" w:hAnsi="宋体" w:cs="仿宋"/>
                <w:lang w:eastAsia="zh-CN"/>
              </w:rPr>
              <w:t>～</w:t>
            </w:r>
            <w:r>
              <w:rPr>
                <w:rFonts w:hint="eastAsia" w:ascii="宋体" w:hAnsi="宋体" w:cs="仿宋"/>
                <w:lang w:val="en-US" w:eastAsia="zh-CN"/>
              </w:rPr>
              <w:t>15</w:t>
            </w:r>
            <w:r>
              <w:rPr>
                <w:rFonts w:hint="eastAsia" w:ascii="宋体" w:hAnsi="宋体" w:cs="仿宋"/>
              </w:rPr>
              <w:t>分</w:t>
            </w:r>
          </w:p>
        </w:tc>
        <w:tc>
          <w:tcPr>
            <w:tcW w:w="299" w:type="pct"/>
            <w:tcBorders>
              <w:tl2br w:val="nil"/>
              <w:tr2bl w:val="nil"/>
            </w:tcBorders>
            <w:vAlign w:val="center"/>
          </w:tcPr>
          <w:p w14:paraId="4F3575AB">
            <w:pPr>
              <w:spacing w:line="460" w:lineRule="exact"/>
              <w:ind w:firstLine="0" w:firstLineChars="0"/>
              <w:jc w:val="center"/>
              <w:rPr>
                <w:rFonts w:hint="eastAsia" w:ascii="宋体" w:hAnsi="宋体" w:cs="仿宋"/>
              </w:rPr>
            </w:pPr>
          </w:p>
        </w:tc>
      </w:tr>
      <w:tr w14:paraId="555D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671" w:type="pct"/>
            <w:vMerge w:val="restart"/>
            <w:tcBorders>
              <w:tl2br w:val="nil"/>
              <w:tr2bl w:val="nil"/>
            </w:tcBorders>
            <w:vAlign w:val="center"/>
          </w:tcPr>
          <w:p w14:paraId="0EF265BF">
            <w:pPr>
              <w:spacing w:line="460" w:lineRule="exact"/>
              <w:ind w:firstLine="0" w:firstLineChars="0"/>
              <w:jc w:val="center"/>
              <w:rPr>
                <w:rFonts w:hint="eastAsia" w:ascii="宋体" w:hAnsi="宋体"/>
                <w:lang w:val="en-US" w:eastAsia="zh-CN"/>
              </w:rPr>
            </w:pPr>
            <w:r>
              <w:rPr>
                <w:rFonts w:hint="eastAsia" w:ascii="宋体" w:hAnsi="宋体"/>
                <w:lang w:val="en-US" w:eastAsia="zh-CN"/>
              </w:rPr>
              <w:t>服务</w:t>
            </w:r>
          </w:p>
          <w:p w14:paraId="7970516F">
            <w:pPr>
              <w:spacing w:line="460" w:lineRule="exact"/>
              <w:ind w:firstLine="0" w:firstLineChars="0"/>
              <w:jc w:val="center"/>
              <w:rPr>
                <w:rFonts w:hint="default" w:ascii="宋体" w:eastAsia="宋体"/>
                <w:lang w:val="en-US" w:eastAsia="zh-CN"/>
              </w:rPr>
            </w:pPr>
            <w:r>
              <w:rPr>
                <w:rFonts w:hint="eastAsia" w:ascii="宋体" w:hAnsi="宋体"/>
                <w:lang w:val="en-US" w:eastAsia="zh-CN"/>
              </w:rPr>
              <w:t xml:space="preserve">方案                 </w:t>
            </w:r>
          </w:p>
          <w:p w14:paraId="49F9AB80">
            <w:pPr>
              <w:widowControl/>
              <w:spacing w:line="460" w:lineRule="exact"/>
              <w:ind w:firstLine="0" w:firstLineChars="0"/>
              <w:jc w:val="center"/>
              <w:rPr>
                <w:rFonts w:ascii="宋体"/>
              </w:rPr>
            </w:pPr>
            <w:r>
              <w:rPr>
                <w:rFonts w:hint="eastAsia" w:ascii="宋体" w:hAnsi="宋体"/>
              </w:rPr>
              <w:t>（</w:t>
            </w:r>
            <w:r>
              <w:rPr>
                <w:rFonts w:hint="eastAsia" w:ascii="宋体" w:hAnsi="宋体"/>
                <w:lang w:val="en-US" w:eastAsia="zh-CN"/>
              </w:rPr>
              <w:t>35</w:t>
            </w:r>
            <w:r>
              <w:rPr>
                <w:rFonts w:hint="eastAsia" w:ascii="宋体" w:hAnsi="宋体"/>
              </w:rPr>
              <w:t>分）</w:t>
            </w:r>
          </w:p>
        </w:tc>
        <w:tc>
          <w:tcPr>
            <w:tcW w:w="819" w:type="pct"/>
            <w:tcBorders>
              <w:tl2br w:val="nil"/>
              <w:tr2bl w:val="nil"/>
            </w:tcBorders>
            <w:shd w:val="clear" w:color="auto" w:fill="auto"/>
            <w:vAlign w:val="center"/>
          </w:tcPr>
          <w:p w14:paraId="3D2D30BC">
            <w:pPr>
              <w:spacing w:line="460" w:lineRule="exact"/>
              <w:ind w:firstLine="0" w:firstLineChars="0"/>
              <w:jc w:val="center"/>
              <w:rPr>
                <w:rFonts w:hint="default" w:ascii="宋体" w:hAnsi="宋体" w:cs="仿宋"/>
                <w:lang w:val="en-US" w:eastAsia="zh-CN"/>
              </w:rPr>
            </w:pPr>
            <w:r>
              <w:rPr>
                <w:rFonts w:hint="eastAsia" w:ascii="宋体" w:hAnsi="宋体" w:cs="仿宋"/>
                <w:lang w:val="en-US" w:eastAsia="zh-CN"/>
              </w:rPr>
              <w:t>培训实力</w:t>
            </w:r>
          </w:p>
          <w:p w14:paraId="4E9CA227">
            <w:pPr>
              <w:spacing w:line="460" w:lineRule="exact"/>
              <w:ind w:firstLine="0" w:firstLineChars="0"/>
              <w:jc w:val="center"/>
              <w:rPr>
                <w:rFonts w:hint="default" w:ascii="宋体" w:hAnsi="宋体" w:eastAsia="宋体" w:cs="仿宋"/>
                <w:lang w:val="en-US" w:eastAsia="zh-CN"/>
              </w:rPr>
            </w:pPr>
          </w:p>
        </w:tc>
        <w:tc>
          <w:tcPr>
            <w:tcW w:w="2765" w:type="pct"/>
            <w:gridSpan w:val="2"/>
            <w:tcBorders>
              <w:tl2br w:val="nil"/>
              <w:tr2bl w:val="nil"/>
            </w:tcBorders>
            <w:shd w:val="clear" w:color="auto" w:fill="auto"/>
            <w:vAlign w:val="center"/>
          </w:tcPr>
          <w:p w14:paraId="57DB895B">
            <w:pPr>
              <w:pStyle w:val="2"/>
              <w:ind w:left="0" w:leftChars="0" w:firstLine="240" w:firstLineChars="100"/>
            </w:pPr>
            <w:r>
              <w:rPr>
                <w:rFonts w:hint="eastAsia" w:ascii="宋体" w:hAnsi="宋体" w:eastAsia="宋体" w:cs="仿宋"/>
                <w:kern w:val="2"/>
                <w:sz w:val="24"/>
                <w:szCs w:val="24"/>
                <w:lang w:val="en-US" w:eastAsia="zh-CN" w:bidi="ar-SA"/>
              </w:rPr>
              <w:t>供应商为本项目配备经验丰富的培训师资，指导专家须为国内或省内信息化教学领域或职业院校教学大赛领域知名专家，具有担任国赛作品指导经验，专家可全程指导，在线解决问题直至国赛参赛结束。供应商提供赛事专家对学校 2025 年提供大规模线下培训会1—2次，并提供校赛指导选拔；对省赛所有培育队伍提供统一培训不少于2次，单组一对一培训不少于3次（一对一师资需先经培育队伍同意）</w:t>
            </w:r>
          </w:p>
        </w:tc>
        <w:tc>
          <w:tcPr>
            <w:tcW w:w="445" w:type="pct"/>
            <w:tcBorders>
              <w:tl2br w:val="nil"/>
              <w:tr2bl w:val="nil"/>
            </w:tcBorders>
            <w:vAlign w:val="center"/>
          </w:tcPr>
          <w:p w14:paraId="73FF65C0">
            <w:pPr>
              <w:spacing w:line="460" w:lineRule="exact"/>
              <w:ind w:firstLine="0" w:firstLineChars="0"/>
              <w:jc w:val="center"/>
              <w:rPr>
                <w:rFonts w:ascii="宋体" w:hAnsi="宋体" w:cs="仿宋"/>
              </w:rPr>
            </w:pPr>
            <w:r>
              <w:rPr>
                <w:rFonts w:hint="eastAsia" w:ascii="宋体" w:hAnsi="宋体" w:cs="仿宋"/>
              </w:rPr>
              <w:t>0</w:t>
            </w:r>
            <w:r>
              <w:rPr>
                <w:rFonts w:hint="eastAsia" w:ascii="宋体" w:hAnsi="宋体" w:cs="仿宋"/>
                <w:lang w:eastAsia="zh-CN"/>
              </w:rPr>
              <w:t>～</w:t>
            </w:r>
            <w:r>
              <w:rPr>
                <w:rFonts w:hint="eastAsia" w:ascii="宋体" w:hAnsi="宋体" w:cs="仿宋"/>
                <w:lang w:val="en-US" w:eastAsia="zh-CN"/>
              </w:rPr>
              <w:t>20</w:t>
            </w:r>
            <w:r>
              <w:rPr>
                <w:rFonts w:hint="eastAsia" w:ascii="宋体" w:hAnsi="宋体" w:cs="仿宋"/>
              </w:rPr>
              <w:t>分</w:t>
            </w:r>
          </w:p>
        </w:tc>
        <w:tc>
          <w:tcPr>
            <w:tcW w:w="299" w:type="pct"/>
            <w:tcBorders>
              <w:tl2br w:val="nil"/>
              <w:tr2bl w:val="nil"/>
            </w:tcBorders>
            <w:vAlign w:val="center"/>
          </w:tcPr>
          <w:p w14:paraId="531A9948">
            <w:pPr>
              <w:spacing w:line="460" w:lineRule="exact"/>
              <w:ind w:firstLine="0" w:firstLineChars="0"/>
              <w:jc w:val="center"/>
              <w:rPr>
                <w:rFonts w:hint="eastAsia" w:ascii="宋体" w:hAnsi="宋体" w:cs="仿宋"/>
              </w:rPr>
            </w:pPr>
          </w:p>
        </w:tc>
      </w:tr>
      <w:tr w14:paraId="2761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tcBorders>
              <w:tl2br w:val="nil"/>
              <w:tr2bl w:val="nil"/>
            </w:tcBorders>
            <w:vAlign w:val="center"/>
          </w:tcPr>
          <w:p w14:paraId="4D375DA4">
            <w:pPr>
              <w:widowControl/>
              <w:spacing w:line="460" w:lineRule="exact"/>
              <w:ind w:firstLine="0" w:firstLineChars="0"/>
              <w:jc w:val="left"/>
              <w:rPr>
                <w:rFonts w:ascii="宋体"/>
              </w:rPr>
            </w:pPr>
          </w:p>
        </w:tc>
        <w:tc>
          <w:tcPr>
            <w:tcW w:w="819" w:type="pct"/>
            <w:tcBorders>
              <w:tl2br w:val="nil"/>
              <w:tr2bl w:val="nil"/>
            </w:tcBorders>
            <w:vAlign w:val="center"/>
          </w:tcPr>
          <w:p w14:paraId="01BDF94F">
            <w:pPr>
              <w:spacing w:line="460" w:lineRule="exact"/>
              <w:ind w:firstLine="0" w:firstLineChars="0"/>
              <w:jc w:val="center"/>
              <w:rPr>
                <w:rFonts w:hint="default" w:ascii="宋体" w:hAnsi="宋体" w:eastAsia="宋体" w:cs="仿宋"/>
                <w:lang w:val="en-US" w:eastAsia="zh-CN"/>
              </w:rPr>
            </w:pPr>
            <w:r>
              <w:rPr>
                <w:rFonts w:hint="eastAsia" w:ascii="宋体" w:hAnsi="宋体" w:cs="仿宋"/>
                <w:lang w:val="en-US" w:eastAsia="zh-CN"/>
              </w:rPr>
              <w:t>团队实力</w:t>
            </w:r>
          </w:p>
        </w:tc>
        <w:tc>
          <w:tcPr>
            <w:tcW w:w="2765" w:type="pct"/>
            <w:gridSpan w:val="2"/>
            <w:tcBorders>
              <w:tl2br w:val="nil"/>
              <w:tr2bl w:val="nil"/>
            </w:tcBorders>
            <w:vAlign w:val="top"/>
          </w:tcPr>
          <w:p w14:paraId="7F39DBF0">
            <w:pPr>
              <w:ind w:firstLine="240" w:firstLineChars="100"/>
              <w:jc w:val="left"/>
              <w:rPr>
                <w:rFonts w:hint="default" w:ascii="宋体" w:hAnsi="宋体" w:cs="仿宋"/>
                <w:lang w:val="en-US" w:eastAsia="zh-CN"/>
              </w:rPr>
            </w:pPr>
            <w:r>
              <w:rPr>
                <w:rFonts w:hint="default" w:ascii="宋体" w:hAnsi="宋体" w:eastAsia="宋体" w:cs="仿宋"/>
                <w:kern w:val="2"/>
                <w:sz w:val="24"/>
                <w:szCs w:val="24"/>
                <w:lang w:val="en-US" w:eastAsia="zh-CN" w:bidi="ar-SA"/>
              </w:rPr>
              <w:t>供应商为本项目配备经验丰富的项目实施团队，具有摄像师、影视后期制作师、影视编导师、动画设计师、项目管理师等。协助参赛队伍完成设计拍摄课堂实录、视频后期制作、动画</w:t>
            </w:r>
            <w:bookmarkStart w:id="0" w:name="_GoBack"/>
            <w:bookmarkEnd w:id="0"/>
            <w:r>
              <w:rPr>
                <w:rFonts w:hint="default" w:ascii="宋体" w:hAnsi="宋体" w:eastAsia="宋体" w:cs="仿宋"/>
                <w:kern w:val="2"/>
                <w:sz w:val="24"/>
                <w:szCs w:val="24"/>
                <w:lang w:val="en-US" w:eastAsia="zh-CN" w:bidi="ar-SA"/>
              </w:rPr>
              <w:t>等虚拟资源制作、课程资源音视频和文字资源整合、PPT制作美化等。</w:t>
            </w:r>
          </w:p>
        </w:tc>
        <w:tc>
          <w:tcPr>
            <w:tcW w:w="445" w:type="pct"/>
            <w:tcBorders>
              <w:tl2br w:val="nil"/>
              <w:tr2bl w:val="nil"/>
            </w:tcBorders>
            <w:vAlign w:val="center"/>
          </w:tcPr>
          <w:p w14:paraId="1E0F7A04">
            <w:pPr>
              <w:spacing w:line="460" w:lineRule="exact"/>
              <w:ind w:firstLine="0" w:firstLineChars="0"/>
              <w:jc w:val="center"/>
              <w:rPr>
                <w:rFonts w:ascii="宋体" w:hAnsi="宋体" w:cs="仿宋"/>
              </w:rPr>
            </w:pPr>
            <w:r>
              <w:rPr>
                <w:rFonts w:hint="eastAsia" w:ascii="宋体" w:hAnsi="宋体" w:cs="仿宋"/>
              </w:rPr>
              <w:t>0</w:t>
            </w:r>
            <w:r>
              <w:rPr>
                <w:rFonts w:hint="eastAsia" w:ascii="宋体" w:hAnsi="宋体" w:cs="仿宋"/>
                <w:lang w:eastAsia="zh-CN"/>
              </w:rPr>
              <w:t>～</w:t>
            </w:r>
            <w:r>
              <w:rPr>
                <w:rFonts w:hint="eastAsia" w:ascii="宋体" w:hAnsi="宋体" w:cs="仿宋"/>
                <w:lang w:val="en-US" w:eastAsia="zh-CN"/>
              </w:rPr>
              <w:t>15</w:t>
            </w:r>
            <w:r>
              <w:rPr>
                <w:rFonts w:hint="eastAsia" w:ascii="宋体" w:hAnsi="宋体" w:cs="仿宋"/>
              </w:rPr>
              <w:t>分</w:t>
            </w:r>
          </w:p>
        </w:tc>
        <w:tc>
          <w:tcPr>
            <w:tcW w:w="299" w:type="pct"/>
            <w:tcBorders>
              <w:tl2br w:val="nil"/>
              <w:tr2bl w:val="nil"/>
            </w:tcBorders>
            <w:vAlign w:val="center"/>
          </w:tcPr>
          <w:p w14:paraId="4C87F5DF">
            <w:pPr>
              <w:spacing w:line="460" w:lineRule="exact"/>
              <w:ind w:firstLine="0" w:firstLineChars="0"/>
              <w:jc w:val="center"/>
              <w:rPr>
                <w:rFonts w:hint="eastAsia" w:ascii="宋体" w:hAnsi="宋体" w:cs="仿宋"/>
              </w:rPr>
            </w:pPr>
          </w:p>
        </w:tc>
      </w:tr>
      <w:tr w14:paraId="087D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restart"/>
            <w:tcBorders>
              <w:tl2br w:val="nil"/>
              <w:tr2bl w:val="nil"/>
            </w:tcBorders>
            <w:vAlign w:val="center"/>
          </w:tcPr>
          <w:p w14:paraId="49F099FF">
            <w:pPr>
              <w:spacing w:line="460" w:lineRule="exact"/>
              <w:ind w:firstLine="0" w:firstLineChars="0"/>
              <w:jc w:val="center"/>
              <w:rPr>
                <w:rFonts w:hint="eastAsia" w:ascii="宋体" w:hAnsi="宋体"/>
              </w:rPr>
            </w:pPr>
          </w:p>
          <w:p w14:paraId="1458ECE5">
            <w:pPr>
              <w:spacing w:line="460" w:lineRule="exact"/>
              <w:ind w:firstLine="0" w:firstLineChars="0"/>
              <w:jc w:val="center"/>
              <w:rPr>
                <w:rFonts w:hint="eastAsia" w:ascii="宋体" w:hAnsi="宋体"/>
              </w:rPr>
            </w:pPr>
          </w:p>
          <w:p w14:paraId="7B2476FD">
            <w:pPr>
              <w:spacing w:line="460" w:lineRule="exact"/>
              <w:ind w:firstLine="0" w:firstLineChars="0"/>
              <w:jc w:val="center"/>
              <w:rPr>
                <w:rFonts w:hint="eastAsia" w:ascii="宋体" w:hAnsi="宋体"/>
              </w:rPr>
            </w:pPr>
          </w:p>
          <w:p w14:paraId="36AF3DC9">
            <w:pPr>
              <w:spacing w:line="460" w:lineRule="exact"/>
              <w:ind w:firstLine="0" w:firstLineChars="0"/>
              <w:jc w:val="center"/>
              <w:rPr>
                <w:rFonts w:hint="eastAsia" w:ascii="宋体" w:hAnsi="宋体"/>
              </w:rPr>
            </w:pPr>
          </w:p>
          <w:p w14:paraId="3ECC3E3A">
            <w:pPr>
              <w:spacing w:line="460" w:lineRule="exact"/>
              <w:ind w:firstLine="0" w:firstLineChars="0"/>
              <w:jc w:val="center"/>
              <w:rPr>
                <w:rFonts w:hint="eastAsia" w:ascii="宋体" w:hAnsi="宋体"/>
              </w:rPr>
            </w:pPr>
          </w:p>
          <w:p w14:paraId="2FCACDCE">
            <w:pPr>
              <w:spacing w:line="460" w:lineRule="exact"/>
              <w:ind w:firstLine="0" w:firstLineChars="0"/>
              <w:jc w:val="center"/>
              <w:rPr>
                <w:rFonts w:ascii="宋体" w:hAnsi="Times New Roman"/>
              </w:rPr>
            </w:pPr>
            <w:r>
              <w:rPr>
                <w:rFonts w:hint="eastAsia" w:ascii="宋体" w:hAnsi="宋体"/>
              </w:rPr>
              <w:t>价格分</w:t>
            </w:r>
          </w:p>
          <w:p w14:paraId="3BB0B0B1">
            <w:pPr>
              <w:spacing w:line="460" w:lineRule="exact"/>
              <w:ind w:firstLine="0" w:firstLineChars="0"/>
              <w:jc w:val="center"/>
              <w:rPr>
                <w:rFonts w:ascii="宋体"/>
                <w:b/>
                <w:bCs/>
              </w:rPr>
            </w:pPr>
            <w:r>
              <w:rPr>
                <w:rFonts w:hint="eastAsia" w:ascii="宋体" w:hAnsi="宋体"/>
              </w:rPr>
              <w:t>（</w:t>
            </w:r>
            <w:r>
              <w:rPr>
                <w:rFonts w:hint="eastAsia" w:ascii="宋体" w:hAnsi="宋体"/>
                <w:u w:val="single"/>
                <w:lang w:val="en-US" w:eastAsia="zh-CN"/>
              </w:rPr>
              <w:t>50</w:t>
            </w:r>
            <w:r>
              <w:rPr>
                <w:rFonts w:hint="eastAsia" w:ascii="宋体" w:hAnsi="宋体"/>
              </w:rPr>
              <w:t>分）</w:t>
            </w:r>
          </w:p>
        </w:tc>
        <w:tc>
          <w:tcPr>
            <w:tcW w:w="821" w:type="pct"/>
            <w:gridSpan w:val="2"/>
            <w:tcBorders>
              <w:tl2br w:val="nil"/>
              <w:tr2bl w:val="nil"/>
            </w:tcBorders>
            <w:vAlign w:val="center"/>
          </w:tcPr>
          <w:p w14:paraId="78F1DED5">
            <w:pPr>
              <w:pStyle w:val="2"/>
              <w:ind w:left="0" w:leftChars="0" w:firstLine="0" w:firstLineChars="0"/>
              <w:jc w:val="center"/>
              <w:rPr>
                <w:rFonts w:hint="default"/>
                <w:lang w:val="en-US" w:eastAsia="zh-CN"/>
              </w:rPr>
            </w:pPr>
            <w:r>
              <w:rPr>
                <w:rFonts w:hint="eastAsia" w:ascii="宋体" w:hAnsi="宋体" w:eastAsia="宋体" w:cs="仿宋"/>
                <w:kern w:val="2"/>
                <w:sz w:val="24"/>
                <w:szCs w:val="24"/>
                <w:lang w:val="en-US" w:eastAsia="zh-CN" w:bidi="ar-SA"/>
              </w:rPr>
              <w:t>价格</w:t>
            </w:r>
          </w:p>
        </w:tc>
        <w:tc>
          <w:tcPr>
            <w:tcW w:w="2763" w:type="pct"/>
            <w:tcBorders>
              <w:tl2br w:val="nil"/>
              <w:tr2bl w:val="nil"/>
            </w:tcBorders>
            <w:vAlign w:val="center"/>
          </w:tcPr>
          <w:p w14:paraId="6ABEC4AD">
            <w:pPr>
              <w:ind w:firstLine="240" w:firstLineChars="100"/>
              <w:jc w:val="left"/>
              <w:rPr>
                <w:rFonts w:hint="default" w:ascii="宋体" w:hAnsi="宋体" w:cs="仿宋"/>
                <w:lang w:val="en-US" w:eastAsia="zh-CN"/>
              </w:rPr>
            </w:pPr>
            <w:r>
              <w:rPr>
                <w:rFonts w:hint="default" w:ascii="宋体" w:hAnsi="宋体" w:cs="仿宋"/>
                <w:lang w:val="en-US" w:eastAsia="zh-CN"/>
              </w:rPr>
              <w:t>本项目最终付款金额为服务参赛队伍</w:t>
            </w:r>
            <w:r>
              <w:rPr>
                <w:rFonts w:hint="eastAsia" w:ascii="宋体" w:hAnsi="宋体" w:cs="仿宋"/>
                <w:lang w:val="en-US" w:eastAsia="zh-CN"/>
              </w:rPr>
              <w:t>4组</w:t>
            </w:r>
            <w:r>
              <w:rPr>
                <w:rFonts w:hint="default" w:ascii="宋体" w:hAnsi="宋体" w:cs="仿宋"/>
                <w:lang w:val="en-US" w:eastAsia="zh-CN"/>
              </w:rPr>
              <w:t>乘以每组服务单价据实结算</w:t>
            </w:r>
            <w:r>
              <w:rPr>
                <w:rFonts w:hint="eastAsia" w:ascii="宋体" w:hAnsi="宋体" w:cs="仿宋"/>
                <w:lang w:val="en-US" w:eastAsia="zh-CN"/>
              </w:rPr>
              <w:t>， 总价不超过20万。有效投标供应商中的最低报价为基准价，即价格分为满分，每相差1000元扣0.3分（不足一千，百位四舍五入）</w:t>
            </w:r>
          </w:p>
        </w:tc>
        <w:tc>
          <w:tcPr>
            <w:tcW w:w="445" w:type="pct"/>
            <w:tcBorders>
              <w:tl2br w:val="nil"/>
              <w:tr2bl w:val="nil"/>
            </w:tcBorders>
            <w:vAlign w:val="center"/>
          </w:tcPr>
          <w:p w14:paraId="476EA9D1">
            <w:pPr>
              <w:pStyle w:val="2"/>
              <w:ind w:left="0" w:leftChars="0" w:firstLine="0" w:firstLineChars="0"/>
              <w:jc w:val="center"/>
              <w:rPr>
                <w:rFonts w:hint="default"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0～10分</w:t>
            </w:r>
          </w:p>
        </w:tc>
        <w:tc>
          <w:tcPr>
            <w:tcW w:w="299" w:type="pct"/>
            <w:tcBorders>
              <w:tl2br w:val="nil"/>
              <w:tr2bl w:val="nil"/>
            </w:tcBorders>
            <w:vAlign w:val="center"/>
          </w:tcPr>
          <w:p w14:paraId="0CE57592">
            <w:pPr>
              <w:pStyle w:val="2"/>
              <w:ind w:left="0" w:leftChars="0" w:firstLine="0" w:firstLineChars="0"/>
              <w:jc w:val="center"/>
              <w:rPr>
                <w:rFonts w:hint="eastAsia" w:ascii="宋体" w:hAnsi="宋体" w:eastAsia="宋体" w:cs="仿宋"/>
                <w:kern w:val="2"/>
                <w:sz w:val="24"/>
                <w:szCs w:val="24"/>
                <w:lang w:val="en-US" w:eastAsia="zh-CN" w:bidi="ar-SA"/>
              </w:rPr>
            </w:pPr>
          </w:p>
        </w:tc>
      </w:tr>
      <w:tr w14:paraId="17CB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vMerge w:val="continue"/>
            <w:tcBorders>
              <w:tl2br w:val="nil"/>
              <w:tr2bl w:val="nil"/>
            </w:tcBorders>
            <w:vAlign w:val="center"/>
          </w:tcPr>
          <w:p w14:paraId="4A8001A7">
            <w:pPr>
              <w:spacing w:line="460" w:lineRule="exact"/>
              <w:ind w:firstLine="0" w:firstLineChars="0"/>
              <w:jc w:val="center"/>
              <w:rPr>
                <w:rFonts w:hint="eastAsia" w:ascii="宋体" w:hAnsi="宋体"/>
              </w:rPr>
            </w:pPr>
          </w:p>
        </w:tc>
        <w:tc>
          <w:tcPr>
            <w:tcW w:w="821" w:type="pct"/>
            <w:gridSpan w:val="2"/>
            <w:tcBorders>
              <w:tl2br w:val="nil"/>
              <w:tr2bl w:val="nil"/>
            </w:tcBorders>
            <w:shd w:val="clear" w:color="auto" w:fill="auto"/>
            <w:vAlign w:val="center"/>
          </w:tcPr>
          <w:p w14:paraId="190C72BA">
            <w:pPr>
              <w:pStyle w:val="2"/>
              <w:ind w:left="0" w:leftChars="0" w:firstLine="0" w:firstLineChars="0"/>
              <w:jc w:val="center"/>
              <w:rPr>
                <w:rFonts w:hint="default" w:ascii="宋体" w:hAnsi="宋体" w:eastAsia="宋体" w:cs="仿宋"/>
                <w:kern w:val="2"/>
                <w:sz w:val="24"/>
                <w:szCs w:val="24"/>
                <w:lang w:val="en-US" w:eastAsia="zh-CN" w:bidi="ar-SA"/>
              </w:rPr>
            </w:pPr>
            <w:r>
              <w:rPr>
                <w:rFonts w:hint="default" w:ascii="宋体" w:hAnsi="宋体" w:eastAsia="宋体" w:cs="仿宋"/>
                <w:kern w:val="2"/>
                <w:sz w:val="24"/>
                <w:szCs w:val="24"/>
                <w:lang w:val="en-US" w:eastAsia="zh-CN" w:bidi="ar-SA"/>
              </w:rPr>
              <w:t>预计</w:t>
            </w:r>
          </w:p>
          <w:p w14:paraId="158849A4">
            <w:pPr>
              <w:pStyle w:val="2"/>
              <w:ind w:left="0" w:leftChars="0" w:firstLine="0" w:firstLineChars="0"/>
              <w:jc w:val="center"/>
              <w:rPr>
                <w:rFonts w:hint="default" w:ascii="宋体" w:hAnsi="宋体" w:eastAsia="宋体" w:cs="仿宋"/>
                <w:kern w:val="2"/>
                <w:sz w:val="24"/>
                <w:szCs w:val="24"/>
                <w:lang w:val="en-US" w:eastAsia="zh-CN" w:bidi="ar-SA"/>
              </w:rPr>
            </w:pPr>
            <w:r>
              <w:rPr>
                <w:rFonts w:hint="default" w:ascii="宋体" w:hAnsi="宋体" w:eastAsia="宋体" w:cs="仿宋"/>
                <w:kern w:val="2"/>
                <w:sz w:val="24"/>
                <w:szCs w:val="24"/>
                <w:lang w:val="en-US" w:eastAsia="zh-CN" w:bidi="ar-SA"/>
              </w:rPr>
              <w:t>获奖</w:t>
            </w:r>
          </w:p>
          <w:p w14:paraId="79460951">
            <w:pPr>
              <w:pStyle w:val="2"/>
              <w:ind w:left="0" w:leftChars="0" w:firstLine="0" w:firstLineChars="0"/>
              <w:jc w:val="center"/>
              <w:rPr>
                <w:rFonts w:hint="default" w:ascii="楷体_GB2312" w:hAnsi="Arial" w:eastAsia="楷体_GB2312" w:cs="Times New Roman"/>
                <w:kern w:val="2"/>
                <w:sz w:val="28"/>
                <w:szCs w:val="28"/>
                <w:lang w:val="en-US" w:eastAsia="zh-CN" w:bidi="ar-SA"/>
              </w:rPr>
            </w:pPr>
            <w:r>
              <w:rPr>
                <w:rFonts w:hint="default" w:ascii="宋体" w:hAnsi="宋体" w:eastAsia="宋体" w:cs="仿宋"/>
                <w:kern w:val="2"/>
                <w:sz w:val="24"/>
                <w:szCs w:val="24"/>
                <w:lang w:val="en-US" w:eastAsia="zh-CN" w:bidi="ar-SA"/>
              </w:rPr>
              <w:t>情况</w:t>
            </w:r>
          </w:p>
        </w:tc>
        <w:tc>
          <w:tcPr>
            <w:tcW w:w="2763" w:type="pct"/>
            <w:tcBorders>
              <w:tl2br w:val="nil"/>
              <w:tr2bl w:val="nil"/>
            </w:tcBorders>
            <w:shd w:val="clear" w:color="auto" w:fill="auto"/>
            <w:vAlign w:val="center"/>
          </w:tcPr>
          <w:p w14:paraId="41B85552">
            <w:pPr>
              <w:ind w:firstLine="240" w:firstLineChars="100"/>
              <w:jc w:val="left"/>
              <w:rPr>
                <w:rFonts w:hint="default" w:ascii="宋体" w:hAnsi="宋体" w:cs="仿宋"/>
                <w:lang w:val="en-US" w:eastAsia="zh-CN"/>
              </w:rPr>
            </w:pPr>
            <w:r>
              <w:rPr>
                <w:rFonts w:hint="default" w:ascii="宋体" w:hAnsi="宋体" w:cs="仿宋"/>
                <w:lang w:val="en-US" w:eastAsia="zh-CN"/>
              </w:rPr>
              <w:t>采用预计获奖情况优先法，本次采用一轮磋商、二次报价为最终报价的方式进行。</w:t>
            </w:r>
          </w:p>
          <w:p w14:paraId="60B428E2">
            <w:pPr>
              <w:ind w:firstLine="240" w:firstLineChars="100"/>
              <w:jc w:val="left"/>
              <w:rPr>
                <w:rFonts w:hint="default" w:ascii="宋体" w:hAnsi="宋体" w:cs="仿宋"/>
                <w:lang w:val="en-US" w:eastAsia="zh-CN"/>
              </w:rPr>
            </w:pPr>
            <w:r>
              <w:rPr>
                <w:rFonts w:hint="default" w:ascii="宋体" w:hAnsi="宋体" w:cs="仿宋"/>
                <w:lang w:val="en-US" w:eastAsia="zh-CN"/>
              </w:rPr>
              <w:t>1.预计被推荐参加国赛，达成全额付款；</w:t>
            </w:r>
          </w:p>
          <w:p w14:paraId="79C6230A">
            <w:pPr>
              <w:ind w:left="480" w:leftChars="100" w:hanging="240" w:hangingChars="100"/>
              <w:jc w:val="left"/>
              <w:rPr>
                <w:rFonts w:hint="default" w:ascii="宋体" w:hAnsi="宋体" w:cs="仿宋"/>
                <w:lang w:val="en-US" w:eastAsia="zh-CN"/>
              </w:rPr>
            </w:pPr>
            <w:r>
              <w:rPr>
                <w:rFonts w:hint="default" w:ascii="宋体" w:hAnsi="宋体" w:cs="仿宋"/>
                <w:lang w:val="en-US" w:eastAsia="zh-CN"/>
              </w:rPr>
              <w:t>2.预计获省一等奖</w:t>
            </w:r>
            <w:r>
              <w:rPr>
                <w:rFonts w:hint="eastAsia" w:ascii="宋体" w:hAnsi="宋体" w:cs="仿宋"/>
                <w:lang w:val="en-US" w:eastAsia="zh-CN"/>
              </w:rPr>
              <w:t>X组</w:t>
            </w:r>
            <w:r>
              <w:rPr>
                <w:rFonts w:hint="default" w:ascii="宋体" w:hAnsi="宋体" w:cs="仿宋"/>
                <w:lang w:val="en-US" w:eastAsia="zh-CN"/>
              </w:rPr>
              <w:t>，二等奖X</w:t>
            </w:r>
            <w:r>
              <w:rPr>
                <w:rFonts w:hint="eastAsia" w:ascii="宋体" w:hAnsi="宋体" w:cs="仿宋"/>
                <w:lang w:val="en-US" w:eastAsia="zh-CN"/>
              </w:rPr>
              <w:t>组</w:t>
            </w:r>
            <w:r>
              <w:rPr>
                <w:rFonts w:hint="default" w:ascii="宋体" w:hAnsi="宋体" w:cs="仿宋"/>
                <w:lang w:val="en-US" w:eastAsia="zh-CN"/>
              </w:rPr>
              <w:t>，达成全额付款</w:t>
            </w:r>
            <w:r>
              <w:rPr>
                <w:rFonts w:hint="eastAsia" w:ascii="宋体" w:hAnsi="宋体" w:cs="仿宋"/>
                <w:lang w:val="en-US" w:eastAsia="zh-CN"/>
              </w:rPr>
              <w:t>（一等奖最少为1组，最终获奖每少一组少付合同款的20%；二等奖每少达成一组少付合同款的10%）</w:t>
            </w:r>
          </w:p>
          <w:p w14:paraId="186938DB">
            <w:pPr>
              <w:ind w:left="480" w:leftChars="100" w:hanging="240" w:hangingChars="100"/>
              <w:jc w:val="left"/>
              <w:rPr>
                <w:rFonts w:hint="eastAsia" w:ascii="宋体" w:hAnsi="宋体" w:cs="仿宋"/>
                <w:lang w:val="en-US" w:eastAsia="zh-CN"/>
              </w:rPr>
            </w:pPr>
            <w:r>
              <w:rPr>
                <w:rFonts w:hint="default" w:ascii="宋体" w:hAnsi="宋体" w:cs="仿宋"/>
                <w:lang w:val="en-US" w:eastAsia="zh-CN"/>
              </w:rPr>
              <w:t>3.预计获省</w:t>
            </w:r>
            <w:r>
              <w:rPr>
                <w:rFonts w:hint="eastAsia" w:ascii="宋体" w:hAnsi="宋体" w:cs="仿宋"/>
                <w:lang w:val="en-US" w:eastAsia="zh-CN"/>
              </w:rPr>
              <w:t>二</w:t>
            </w:r>
            <w:r>
              <w:rPr>
                <w:rFonts w:hint="default" w:ascii="宋体" w:hAnsi="宋体" w:cs="仿宋"/>
                <w:lang w:val="en-US" w:eastAsia="zh-CN"/>
              </w:rPr>
              <w:t>等奖</w:t>
            </w:r>
            <w:r>
              <w:rPr>
                <w:rFonts w:hint="eastAsia" w:ascii="宋体" w:hAnsi="宋体" w:cs="仿宋"/>
                <w:lang w:val="en-US" w:eastAsia="zh-CN"/>
              </w:rPr>
              <w:t>X组</w:t>
            </w:r>
            <w:r>
              <w:rPr>
                <w:rFonts w:hint="default" w:ascii="宋体" w:hAnsi="宋体" w:cs="仿宋"/>
                <w:lang w:val="en-US" w:eastAsia="zh-CN"/>
              </w:rPr>
              <w:t>，</w:t>
            </w:r>
            <w:r>
              <w:rPr>
                <w:rFonts w:hint="eastAsia" w:ascii="宋体" w:hAnsi="宋体" w:cs="仿宋"/>
                <w:lang w:val="en-US" w:eastAsia="zh-CN"/>
              </w:rPr>
              <w:t>三等奖</w:t>
            </w:r>
            <w:r>
              <w:rPr>
                <w:rFonts w:hint="default" w:ascii="宋体" w:hAnsi="宋体" w:cs="仿宋"/>
                <w:lang w:val="en-US" w:eastAsia="zh-CN"/>
              </w:rPr>
              <w:t>X项</w:t>
            </w:r>
            <w:r>
              <w:rPr>
                <w:rFonts w:hint="eastAsia" w:ascii="宋体" w:hAnsi="宋体" w:cs="仿宋"/>
                <w:lang w:val="en-US" w:eastAsia="zh-CN"/>
              </w:rPr>
              <w:t>，达成</w:t>
            </w:r>
            <w:r>
              <w:rPr>
                <w:rFonts w:hint="default" w:ascii="宋体" w:hAnsi="宋体" w:cs="仿宋"/>
                <w:lang w:val="en-US" w:eastAsia="zh-CN"/>
              </w:rPr>
              <w:t>费用为合同款的</w:t>
            </w:r>
            <w:r>
              <w:rPr>
                <w:rFonts w:hint="eastAsia" w:ascii="宋体" w:hAnsi="宋体" w:cs="仿宋"/>
                <w:lang w:val="en-US" w:eastAsia="zh-CN"/>
              </w:rPr>
              <w:t>50</w:t>
            </w:r>
            <w:r>
              <w:rPr>
                <w:rFonts w:hint="default" w:ascii="宋体" w:hAnsi="宋体" w:cs="仿宋"/>
                <w:lang w:val="en-US" w:eastAsia="zh-CN"/>
              </w:rPr>
              <w:t>%</w:t>
            </w:r>
            <w:r>
              <w:rPr>
                <w:rFonts w:hint="eastAsia" w:ascii="宋体" w:hAnsi="宋体" w:cs="仿宋"/>
                <w:lang w:val="en-US" w:eastAsia="zh-CN"/>
              </w:rPr>
              <w:t>（二等奖最少为1组，最终获奖每少一组少付合同款的20%；三等奖每少达成一组少付合同款的10%）</w:t>
            </w:r>
          </w:p>
          <w:p w14:paraId="3281D800">
            <w:pPr>
              <w:ind w:firstLine="240" w:firstLineChars="100"/>
              <w:jc w:val="left"/>
              <w:rPr>
                <w:rFonts w:hint="eastAsia" w:ascii="宋体" w:hAnsi="宋体" w:cs="仿宋"/>
                <w:lang w:val="en-US" w:eastAsia="zh-CN"/>
              </w:rPr>
            </w:pPr>
            <w:r>
              <w:rPr>
                <w:rFonts w:hint="eastAsia" w:ascii="宋体" w:hAnsi="宋体" w:cs="仿宋"/>
                <w:lang w:val="en-US" w:eastAsia="zh-CN"/>
              </w:rPr>
              <w:t>4.最高奖仅为省三等奖，剩下的50%合同款不再支付</w:t>
            </w:r>
          </w:p>
          <w:p w14:paraId="5AC4AD96">
            <w:pPr>
              <w:ind w:firstLine="240" w:firstLineChars="100"/>
              <w:jc w:val="left"/>
              <w:rPr>
                <w:rFonts w:hint="eastAsia" w:ascii="宋体" w:hAnsi="宋体" w:cs="仿宋"/>
                <w:lang w:val="en-US" w:eastAsia="zh-CN"/>
              </w:rPr>
            </w:pPr>
            <w:r>
              <w:rPr>
                <w:rFonts w:hint="eastAsia" w:ascii="宋体" w:hAnsi="宋体" w:cs="仿宋"/>
                <w:lang w:val="en-US" w:eastAsia="zh-CN"/>
              </w:rPr>
              <w:t>5.未获奖，供应商支付学校合同款的X%</w:t>
            </w:r>
          </w:p>
        </w:tc>
        <w:tc>
          <w:tcPr>
            <w:tcW w:w="445" w:type="pct"/>
            <w:tcBorders>
              <w:tl2br w:val="nil"/>
              <w:tr2bl w:val="nil"/>
            </w:tcBorders>
            <w:vAlign w:val="center"/>
          </w:tcPr>
          <w:p w14:paraId="5B11CD7C">
            <w:pPr>
              <w:pStyle w:val="2"/>
              <w:ind w:left="0" w:leftChars="0" w:firstLine="0" w:firstLineChars="0"/>
              <w:jc w:val="center"/>
              <w:rPr>
                <w:rFonts w:hint="default"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0～40分</w:t>
            </w:r>
          </w:p>
        </w:tc>
        <w:tc>
          <w:tcPr>
            <w:tcW w:w="299" w:type="pct"/>
            <w:tcBorders>
              <w:tl2br w:val="nil"/>
              <w:tr2bl w:val="nil"/>
            </w:tcBorders>
            <w:vAlign w:val="center"/>
          </w:tcPr>
          <w:p w14:paraId="424DC8BF">
            <w:pPr>
              <w:pStyle w:val="2"/>
              <w:ind w:left="0" w:leftChars="0" w:firstLine="0" w:firstLineChars="0"/>
              <w:jc w:val="center"/>
              <w:rPr>
                <w:rFonts w:hint="eastAsia" w:ascii="宋体" w:hAnsi="宋体" w:eastAsia="宋体" w:cs="仿宋"/>
                <w:kern w:val="2"/>
                <w:sz w:val="24"/>
                <w:szCs w:val="24"/>
                <w:lang w:val="en-US" w:eastAsia="zh-CN" w:bidi="ar-SA"/>
              </w:rPr>
            </w:pPr>
          </w:p>
        </w:tc>
      </w:tr>
      <w:tr w14:paraId="0A92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5" w:type="pct"/>
            <w:gridSpan w:val="4"/>
            <w:tcBorders>
              <w:tl2br w:val="nil"/>
              <w:tr2bl w:val="nil"/>
            </w:tcBorders>
            <w:vAlign w:val="center"/>
          </w:tcPr>
          <w:p w14:paraId="71B31BC6">
            <w:pPr>
              <w:pStyle w:val="2"/>
              <w:ind w:left="0" w:leftChars="0" w:firstLine="0" w:firstLineChars="0"/>
              <w:jc w:val="center"/>
              <w:rPr>
                <w:rFonts w:hint="eastAsia" w:ascii="宋体" w:hAnsi="宋体" w:eastAsia="宋体" w:cs="仿宋"/>
                <w:kern w:val="2"/>
                <w:sz w:val="24"/>
                <w:szCs w:val="24"/>
                <w:lang w:val="en-US" w:eastAsia="zh-CN" w:bidi="ar-SA"/>
              </w:rPr>
            </w:pPr>
            <w:r>
              <w:rPr>
                <w:rFonts w:hint="eastAsia" w:ascii="宋体" w:hAnsi="宋体" w:eastAsia="宋体" w:cs="Times New Roman"/>
                <w:kern w:val="2"/>
                <w:sz w:val="24"/>
                <w:szCs w:val="24"/>
                <w:lang w:val="en-US" w:eastAsia="zh-CN" w:bidi="ar-SA"/>
              </w:rPr>
              <w:t>合计：</w:t>
            </w:r>
          </w:p>
        </w:tc>
        <w:tc>
          <w:tcPr>
            <w:tcW w:w="445" w:type="pct"/>
            <w:tcBorders>
              <w:tl2br w:val="nil"/>
              <w:tr2bl w:val="nil"/>
            </w:tcBorders>
            <w:vAlign w:val="center"/>
          </w:tcPr>
          <w:p w14:paraId="5E6DBD87">
            <w:pPr>
              <w:pStyle w:val="2"/>
              <w:ind w:left="0" w:leftChars="0" w:firstLine="0" w:firstLineChars="0"/>
              <w:jc w:val="center"/>
              <w:rPr>
                <w:rFonts w:hint="default"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0～100分</w:t>
            </w:r>
          </w:p>
        </w:tc>
        <w:tc>
          <w:tcPr>
            <w:tcW w:w="299" w:type="pct"/>
            <w:tcBorders>
              <w:tl2br w:val="nil"/>
              <w:tr2bl w:val="nil"/>
            </w:tcBorders>
            <w:vAlign w:val="center"/>
          </w:tcPr>
          <w:p w14:paraId="0E37B0D3">
            <w:pPr>
              <w:pStyle w:val="2"/>
              <w:ind w:left="0" w:leftChars="0" w:firstLine="0" w:firstLineChars="0"/>
              <w:jc w:val="center"/>
              <w:rPr>
                <w:rFonts w:hint="eastAsia" w:ascii="宋体" w:hAnsi="宋体" w:eastAsia="宋体" w:cs="仿宋"/>
                <w:kern w:val="2"/>
                <w:sz w:val="24"/>
                <w:szCs w:val="24"/>
                <w:lang w:val="en-US" w:eastAsia="zh-CN" w:bidi="ar-SA"/>
              </w:rPr>
            </w:pPr>
          </w:p>
        </w:tc>
      </w:tr>
    </w:tbl>
    <w:p w14:paraId="60C9DF33">
      <w:pPr>
        <w:pStyle w:val="2"/>
      </w:pPr>
    </w:p>
    <w:p w14:paraId="163C8EF0"/>
    <w:sectPr>
      <w:pgSz w:w="16838" w:h="11906" w:orient="landscape"/>
      <w:pgMar w:top="120" w:right="1440" w:bottom="19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882D6"/>
    <w:multiLevelType w:val="multilevel"/>
    <w:tmpl w:val="B52882D6"/>
    <w:lvl w:ilvl="0" w:tentative="0">
      <w:start w:val="1"/>
      <w:numFmt w:val="chineseCounting"/>
      <w:pStyle w:val="3"/>
      <w:suff w:val="nothing"/>
      <w:lvlText w:val="第%1章 "/>
      <w:lvlJc w:val="left"/>
      <w:pPr>
        <w:tabs>
          <w:tab w:val="left" w:pos="0"/>
        </w:tabs>
        <w:ind w:left="0" w:firstLine="402"/>
      </w:pPr>
      <w:rPr>
        <w:rFonts w:hint="eastAsia" w:eastAsia="宋体"/>
        <w:sz w:val="32"/>
      </w:rPr>
    </w:lvl>
    <w:lvl w:ilvl="1" w:tentative="0">
      <w:start w:val="1"/>
      <w:numFmt w:val="chineseCounting"/>
      <w:suff w:val="nothing"/>
      <w:lvlText w:val="%2、"/>
      <w:lvlJc w:val="left"/>
      <w:pPr>
        <w:tabs>
          <w:tab w:val="left" w:pos="0"/>
        </w:tabs>
        <w:ind w:left="78" w:firstLine="402"/>
      </w:pPr>
      <w:rPr>
        <w:rFonts w:hint="eastAsia" w:ascii="宋体" w:hAnsi="宋体" w:eastAsia="宋体" w:cs="宋体"/>
        <w:sz w:val="30"/>
      </w:rPr>
    </w:lvl>
    <w:lvl w:ilvl="2" w:tentative="0">
      <w:start w:val="1"/>
      <w:numFmt w:val="chineseCounting"/>
      <w:suff w:val="nothing"/>
      <w:lvlText w:val="(%3)"/>
      <w:lvlJc w:val="left"/>
      <w:pPr>
        <w:tabs>
          <w:tab w:val="left" w:pos="0"/>
        </w:tabs>
        <w:ind w:left="0" w:firstLine="402"/>
      </w:pPr>
      <w:rPr>
        <w:rFonts w:hint="eastAsia" w:ascii="宋体" w:hAnsi="宋体" w:eastAsia="宋体" w:cs="宋体"/>
      </w:rPr>
    </w:lvl>
    <w:lvl w:ilvl="3" w:tentative="0">
      <w:start w:val="1"/>
      <w:numFmt w:val="decimal"/>
      <w:suff w:val="nothing"/>
      <w:lvlText w:val="%4."/>
      <w:lvlJc w:val="left"/>
      <w:pPr>
        <w:tabs>
          <w:tab w:val="left" w:pos="0"/>
        </w:tabs>
        <w:ind w:left="0" w:firstLine="402"/>
      </w:pPr>
      <w:rPr>
        <w:rFonts w:hint="eastAsia" w:ascii="宋体" w:hAnsi="宋体" w:eastAsia="宋体" w:cs="宋体"/>
      </w:rPr>
    </w:lvl>
    <w:lvl w:ilvl="4" w:tentative="0">
      <w:start w:val="1"/>
      <w:numFmt w:val="decimal"/>
      <w:suff w:val="nothing"/>
      <w:lvlText w:val="%4.%5 "/>
      <w:lvlJc w:val="left"/>
      <w:pPr>
        <w:ind w:left="-402" w:firstLine="402"/>
      </w:pPr>
      <w:rPr>
        <w:rFonts w:hint="eastAsia" w:ascii="宋体" w:hAnsi="宋体" w:eastAsia="宋体" w:cs="宋体"/>
      </w:rPr>
    </w:lvl>
    <w:lvl w:ilvl="5" w:tentative="0">
      <w:start w:val="1"/>
      <w:numFmt w:val="decimal"/>
      <w:suff w:val="nothing"/>
      <w:lvlText w:val="%4.%5.%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D22E5"/>
    <w:rsid w:val="0D7C082F"/>
    <w:rsid w:val="288D22E5"/>
    <w:rsid w:val="793F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9"/>
    <w:pPr>
      <w:keepNext/>
      <w:keepLines/>
      <w:numPr>
        <w:ilvl w:val="0"/>
        <w:numId w:val="1"/>
      </w:numPr>
      <w:spacing w:before="280" w:after="280" w:line="480" w:lineRule="auto"/>
      <w:ind w:firstLine="0" w:firstLineChars="0"/>
      <w:jc w:val="center"/>
      <w:outlineLvl w:val="0"/>
    </w:pPr>
    <w:rPr>
      <w:b/>
      <w:kern w:val="44"/>
      <w:sz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2025-01-07T03:00:00Z</dcterms:created>
  <dc:creator>夏日冷太阳</dc:creator>
  <cp:lastModifiedBy>夏日冷太阳</cp:lastModifiedBy>
  <dcterms:modified xsi:type="dcterms:W3CDTF">2025-01-07T03:12:39Z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BD9FC56EA7C54552B9E33E2D423C014D_11</vt:lpwstr>
  </property>
  <property fmtid="{D5CDD505-2E9C-101B-9397-08002B2CF9AE}" pid="4" name="KSOTemplateDocerSaveRecord">
    <vt:lpwstr>eyJoZGlkIjoiODcxYjQ5ZGZlYjAyYmJlNWRlYzQxNWJkNTI4NzVlMzQiLCJ1c2VySWQiOiIyNjIxNTUxNiJ9</vt:lpwstr>
  </property>
</Properties>
</file>